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54B" w:rsidRPr="00963FAF" w:rsidRDefault="0099154B" w:rsidP="00963FAF">
      <w:pPr>
        <w:jc w:val="both"/>
        <w:rPr>
          <w:rFonts w:ascii="Calibri" w:hAnsi="Calibri" w:cs="Calibri"/>
        </w:rPr>
      </w:pPr>
      <w:r w:rsidRPr="00963FAF">
        <w:rPr>
          <w:rFonts w:ascii="Calibri" w:hAnsi="Calibri" w:cs="Calibri"/>
          <w:b/>
        </w:rPr>
        <w:t xml:space="preserve">Nazwa inwestycji: </w:t>
      </w:r>
      <w:r w:rsidRPr="00963FAF">
        <w:rPr>
          <w:rFonts w:ascii="Calibri" w:hAnsi="Calibri" w:cs="Calibri"/>
        </w:rPr>
        <w:t>„Modernizacja stacji uzdatniania wody w Zdrzychowie” realizowana w ramach zadania inwestycyjnego pn.: „Modernizacja systemu zaopatrzenia w wodę”.</w:t>
      </w:r>
    </w:p>
    <w:p w:rsidR="00912496" w:rsidRPr="00963FAF" w:rsidRDefault="0099154B" w:rsidP="00963FAF">
      <w:pPr>
        <w:jc w:val="both"/>
        <w:rPr>
          <w:rFonts w:ascii="Calibri" w:hAnsi="Calibri" w:cs="Calibri"/>
        </w:rPr>
      </w:pPr>
      <w:r w:rsidRPr="00963FAF">
        <w:rPr>
          <w:rFonts w:ascii="Calibri" w:hAnsi="Calibri" w:cs="Calibri"/>
        </w:rPr>
        <w:t xml:space="preserve">Zakres dotyczący modernizacji stacji wodociągowej SUW w Zdrzychowie obejmuje dostawę, montaż i uruchomienie </w:t>
      </w:r>
      <w:r w:rsidR="00606FAA" w:rsidRPr="00963FAF">
        <w:rPr>
          <w:rFonts w:ascii="Calibri" w:hAnsi="Calibri" w:cs="Calibri"/>
        </w:rPr>
        <w:t xml:space="preserve">nowego zestawu hydroforowego, wymianę sterowników szafy technologicznej i zestawu hydroforowego, wymianę wodomierzy na </w:t>
      </w:r>
      <w:r w:rsidR="005E0F3F">
        <w:rPr>
          <w:rFonts w:ascii="Calibri" w:hAnsi="Calibri" w:cs="Calibri"/>
        </w:rPr>
        <w:t>przepływomierze elektromagnetyczne</w:t>
      </w:r>
      <w:r w:rsidR="00606FAA" w:rsidRPr="00963FAF">
        <w:rPr>
          <w:rFonts w:ascii="Calibri" w:hAnsi="Calibri" w:cs="Calibri"/>
        </w:rPr>
        <w:t xml:space="preserve"> oraz zamontowanie systemu </w:t>
      </w:r>
      <w:r w:rsidR="00963FAF" w:rsidRPr="00963FAF">
        <w:rPr>
          <w:rFonts w:ascii="Calibri" w:hAnsi="Calibri" w:cs="Calibri"/>
        </w:rPr>
        <w:t>monitoringu pracy stacji wodociągowej.</w:t>
      </w:r>
    </w:p>
    <w:p w:rsidR="0099154B" w:rsidRPr="00963FAF" w:rsidRDefault="0099154B" w:rsidP="00963FAF">
      <w:pPr>
        <w:pStyle w:val="Default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963FAF">
        <w:rPr>
          <w:rFonts w:ascii="Calibri" w:hAnsi="Calibri" w:cs="Calibri"/>
          <w:b/>
          <w:sz w:val="22"/>
          <w:szCs w:val="22"/>
        </w:rPr>
        <w:t xml:space="preserve">zestaw hydroforowy </w:t>
      </w:r>
    </w:p>
    <w:p w:rsidR="0099154B" w:rsidRPr="00963FAF" w:rsidRDefault="0099154B" w:rsidP="00563DB2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963FAF">
        <w:rPr>
          <w:rFonts w:ascii="Calibri" w:hAnsi="Calibri" w:cs="Calibri"/>
          <w:sz w:val="22"/>
          <w:szCs w:val="22"/>
        </w:rPr>
        <w:t>Zestaw wykonany w oparciu o pionowe wielostopniowe pompy wirowe, przy założeniu pomp głównych</w:t>
      </w:r>
      <w:r w:rsidR="00563DB2">
        <w:rPr>
          <w:rFonts w:ascii="Calibri" w:hAnsi="Calibri" w:cs="Calibri"/>
          <w:sz w:val="22"/>
          <w:szCs w:val="22"/>
        </w:rPr>
        <w:t xml:space="preserve"> 4 szt. i pompy </w:t>
      </w:r>
      <w:proofErr w:type="spellStart"/>
      <w:r w:rsidR="00563DB2">
        <w:rPr>
          <w:rFonts w:ascii="Calibri" w:hAnsi="Calibri" w:cs="Calibri"/>
          <w:sz w:val="22"/>
          <w:szCs w:val="22"/>
        </w:rPr>
        <w:t>płucznej</w:t>
      </w:r>
      <w:proofErr w:type="spellEnd"/>
      <w:r w:rsidRPr="00963FAF">
        <w:rPr>
          <w:rFonts w:ascii="Calibri" w:hAnsi="Calibri" w:cs="Calibri"/>
          <w:sz w:val="22"/>
          <w:szCs w:val="22"/>
        </w:rPr>
        <w:t xml:space="preserve"> o parametrach pracy zestawu</w:t>
      </w:r>
      <w:r w:rsidR="00563DB2">
        <w:rPr>
          <w:rFonts w:ascii="Calibri" w:hAnsi="Calibri" w:cs="Calibri"/>
          <w:sz w:val="22"/>
          <w:szCs w:val="22"/>
        </w:rPr>
        <w:t>: wydajność Q=70,</w:t>
      </w:r>
      <w:r w:rsidRPr="00963FAF">
        <w:rPr>
          <w:rFonts w:ascii="Calibri" w:hAnsi="Calibri" w:cs="Calibri"/>
          <w:sz w:val="22"/>
          <w:szCs w:val="22"/>
        </w:rPr>
        <w:t>0</w:t>
      </w:r>
      <w:r w:rsidR="00563DB2">
        <w:rPr>
          <w:rFonts w:ascii="Calibri" w:hAnsi="Calibri" w:cs="Calibri"/>
          <w:sz w:val="22"/>
          <w:szCs w:val="22"/>
        </w:rPr>
        <w:t xml:space="preserve"> – 80,0</w:t>
      </w:r>
      <w:r w:rsidRPr="00963FAF">
        <w:rPr>
          <w:rFonts w:ascii="Calibri" w:hAnsi="Calibri" w:cs="Calibri"/>
          <w:sz w:val="22"/>
          <w:szCs w:val="22"/>
        </w:rPr>
        <w:t xml:space="preserve"> m3</w:t>
      </w:r>
      <w:r w:rsidR="00563DB2">
        <w:rPr>
          <w:rFonts w:ascii="Calibri" w:hAnsi="Calibri" w:cs="Calibri"/>
          <w:sz w:val="22"/>
          <w:szCs w:val="22"/>
        </w:rPr>
        <w:t>/h i wysokość podnoszenia 30,0-40,0 m</w:t>
      </w:r>
      <w:r w:rsidRPr="00963FAF">
        <w:rPr>
          <w:rFonts w:ascii="Calibri" w:hAnsi="Calibri" w:cs="Calibri"/>
          <w:sz w:val="22"/>
          <w:szCs w:val="22"/>
        </w:rPr>
        <w:t xml:space="preserve">, parametry sekcji </w:t>
      </w:r>
      <w:proofErr w:type="spellStart"/>
      <w:r w:rsidRPr="00963FAF">
        <w:rPr>
          <w:rFonts w:ascii="Calibri" w:hAnsi="Calibri" w:cs="Calibri"/>
          <w:sz w:val="22"/>
          <w:szCs w:val="22"/>
        </w:rPr>
        <w:t>płucznej</w:t>
      </w:r>
      <w:proofErr w:type="spellEnd"/>
      <w:r w:rsidRPr="00963FAF">
        <w:rPr>
          <w:rFonts w:ascii="Calibri" w:hAnsi="Calibri" w:cs="Calibri"/>
          <w:sz w:val="22"/>
          <w:szCs w:val="22"/>
        </w:rPr>
        <w:t>: wydajność Q=65,0 m3/h i wy</w:t>
      </w:r>
      <w:r w:rsidR="00563DB2">
        <w:rPr>
          <w:rFonts w:ascii="Calibri" w:hAnsi="Calibri" w:cs="Calibri"/>
          <w:sz w:val="22"/>
          <w:szCs w:val="22"/>
        </w:rPr>
        <w:t>sokość podnoszenia 16m</w:t>
      </w:r>
      <w:r w:rsidRPr="00963FAF">
        <w:rPr>
          <w:rFonts w:ascii="Calibri" w:hAnsi="Calibri" w:cs="Calibri"/>
          <w:sz w:val="22"/>
          <w:szCs w:val="22"/>
        </w:rPr>
        <w:t xml:space="preserve">. </w:t>
      </w:r>
    </w:p>
    <w:p w:rsidR="0099154B" w:rsidRPr="00963FAF" w:rsidRDefault="0099154B" w:rsidP="00563DB2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963FAF">
        <w:rPr>
          <w:rFonts w:ascii="Calibri" w:hAnsi="Calibri" w:cs="Calibri"/>
          <w:sz w:val="22"/>
          <w:szCs w:val="22"/>
        </w:rPr>
        <w:t xml:space="preserve">Zestaw pomp montowany na ramie wsporczej przy zastosowaniu </w:t>
      </w:r>
      <w:proofErr w:type="spellStart"/>
      <w:r w:rsidRPr="00963FAF">
        <w:rPr>
          <w:rFonts w:ascii="Calibri" w:hAnsi="Calibri" w:cs="Calibri"/>
          <w:sz w:val="22"/>
          <w:szCs w:val="22"/>
        </w:rPr>
        <w:t>wibroizolatorów</w:t>
      </w:r>
      <w:proofErr w:type="spellEnd"/>
      <w:r w:rsidRPr="00963FAF">
        <w:rPr>
          <w:rFonts w:ascii="Calibri" w:hAnsi="Calibri" w:cs="Calibri"/>
          <w:sz w:val="22"/>
          <w:szCs w:val="22"/>
        </w:rPr>
        <w:t xml:space="preserve">, na posadzce hali technologicznej. Orurowanie zestawu pompowego (kolektor ssawny/tłoczny) i armaturę przewidziano wykonać z rur i kształtek ze stali nierdzewnej zgodnej z normą PN-EN10088-1, łączonych kołnierzowo, uzbrojonych w przepustnice </w:t>
      </w:r>
      <w:proofErr w:type="spellStart"/>
      <w:r w:rsidRPr="00963FAF">
        <w:rPr>
          <w:rFonts w:ascii="Calibri" w:hAnsi="Calibri" w:cs="Calibri"/>
          <w:sz w:val="22"/>
          <w:szCs w:val="22"/>
        </w:rPr>
        <w:t>międzykołnierzowe</w:t>
      </w:r>
      <w:proofErr w:type="spellEnd"/>
      <w:r w:rsidRPr="00963FAF">
        <w:rPr>
          <w:rFonts w:ascii="Calibri" w:hAnsi="Calibri" w:cs="Calibri"/>
          <w:sz w:val="22"/>
          <w:szCs w:val="22"/>
        </w:rPr>
        <w:t xml:space="preserve">. </w:t>
      </w:r>
    </w:p>
    <w:p w:rsidR="0099154B" w:rsidRPr="00963FAF" w:rsidRDefault="0099154B" w:rsidP="00563DB2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963FAF">
        <w:rPr>
          <w:rFonts w:ascii="Calibri" w:hAnsi="Calibri" w:cs="Calibri"/>
          <w:sz w:val="22"/>
          <w:szCs w:val="22"/>
        </w:rPr>
        <w:t xml:space="preserve">Zestaw wraz z przetwornicą częstotliwości przystosowany do pracy z płynną regulacją obrotów przy pomocy falowników prądu z wykorzystaniem możliwości regulacji prędkości obrotowej pomp. </w:t>
      </w:r>
    </w:p>
    <w:p w:rsidR="0099154B" w:rsidRPr="00963FAF" w:rsidRDefault="0099154B" w:rsidP="00557D5A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963FAF">
        <w:rPr>
          <w:rFonts w:ascii="Calibri" w:hAnsi="Calibri" w:cs="Calibri"/>
          <w:sz w:val="22"/>
          <w:szCs w:val="22"/>
        </w:rPr>
        <w:t xml:space="preserve">Pompowy zestaw hydroforowy wyposażony zostanie w naczynia przeponowe zabezpieczające sieć wodociągową przed uderzeniami hydraulicznymi oraz stosowną rozdzielnię - szafą sterowniczą. </w:t>
      </w:r>
    </w:p>
    <w:p w:rsidR="0099154B" w:rsidRPr="00963FAF" w:rsidRDefault="0099154B" w:rsidP="00557D5A">
      <w:pPr>
        <w:pStyle w:val="Default"/>
        <w:rPr>
          <w:rFonts w:ascii="Calibri" w:hAnsi="Calibri" w:cs="Calibri"/>
          <w:sz w:val="22"/>
          <w:szCs w:val="22"/>
        </w:rPr>
      </w:pPr>
      <w:r w:rsidRPr="00963FAF">
        <w:rPr>
          <w:rFonts w:ascii="Calibri" w:hAnsi="Calibri" w:cs="Calibri"/>
          <w:sz w:val="22"/>
          <w:szCs w:val="22"/>
        </w:rPr>
        <w:t xml:space="preserve">Rozwiązania konstrukcyjne: </w:t>
      </w:r>
    </w:p>
    <w:p w:rsidR="0099154B" w:rsidRDefault="0099154B" w:rsidP="00557D5A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963FAF">
        <w:rPr>
          <w:rFonts w:ascii="Calibri" w:hAnsi="Calibri" w:cs="Calibri"/>
          <w:sz w:val="22"/>
          <w:szCs w:val="22"/>
        </w:rPr>
        <w:t xml:space="preserve">orurowanie zestawu oraz rama wsporcza ze stali nierdzewnej, </w:t>
      </w:r>
    </w:p>
    <w:p w:rsidR="0099154B" w:rsidRDefault="0099154B" w:rsidP="00557D5A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557D5A">
        <w:rPr>
          <w:rFonts w:ascii="Calibri" w:hAnsi="Calibri" w:cs="Calibri"/>
          <w:sz w:val="22"/>
          <w:szCs w:val="22"/>
        </w:rPr>
        <w:t xml:space="preserve">armatura zwrotna – zawory zwrotne, </w:t>
      </w:r>
    </w:p>
    <w:p w:rsidR="0099154B" w:rsidRDefault="0099154B" w:rsidP="00557D5A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557D5A">
        <w:rPr>
          <w:rFonts w:ascii="Calibri" w:hAnsi="Calibri" w:cs="Calibri"/>
          <w:sz w:val="22"/>
          <w:szCs w:val="22"/>
        </w:rPr>
        <w:t xml:space="preserve">armatura odcinająca – zawory kulowe, a dla pomp o przyłączu większym niż DN 50 przepustnice, </w:t>
      </w:r>
    </w:p>
    <w:p w:rsidR="0099154B" w:rsidRDefault="0099154B" w:rsidP="00557D5A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557D5A">
        <w:rPr>
          <w:rFonts w:ascii="Calibri" w:hAnsi="Calibri" w:cs="Calibri"/>
          <w:sz w:val="22"/>
          <w:szCs w:val="22"/>
        </w:rPr>
        <w:t xml:space="preserve">wszystkie elementy pomp pionowych mające kontakt z wodą wykonane ze stali nierdzewnej, </w:t>
      </w:r>
    </w:p>
    <w:p w:rsidR="005C5AA6" w:rsidRPr="005C5AA6" w:rsidRDefault="0099154B" w:rsidP="005C5AA6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557D5A">
        <w:rPr>
          <w:rFonts w:ascii="Calibri" w:hAnsi="Calibri" w:cs="Calibri"/>
          <w:sz w:val="22"/>
          <w:szCs w:val="22"/>
        </w:rPr>
        <w:t>na kolektorach zamontowane kołnierze luźne umożliwiające łatwy montaż instalacji przyłączeniowej obu stron kolektora,</w:t>
      </w:r>
      <w:r w:rsidR="005C5AA6" w:rsidRPr="005C5AA6">
        <w:t xml:space="preserve"> </w:t>
      </w:r>
    </w:p>
    <w:p w:rsidR="005C5AA6" w:rsidRDefault="005C5AA6" w:rsidP="005C5AA6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5C5AA6">
        <w:rPr>
          <w:rFonts w:ascii="Calibri" w:hAnsi="Calibri" w:cs="Calibri"/>
          <w:sz w:val="22"/>
          <w:szCs w:val="22"/>
        </w:rPr>
        <w:t xml:space="preserve">na kolektorze tłocznym wykonanym ze stali kwasoodpornej zamontowane zbiorniki przeponowe o pojemności ok. 25 dm3 w odpowiedniej ilości stosownie do wydajności układu hydroforowego. </w:t>
      </w:r>
    </w:p>
    <w:p w:rsidR="005C5AA6" w:rsidRPr="005C5AA6" w:rsidRDefault="005C5AA6" w:rsidP="005C5AA6">
      <w:pPr>
        <w:pStyle w:val="Default"/>
        <w:rPr>
          <w:rFonts w:ascii="Calibri" w:hAnsi="Calibri" w:cs="Calibri"/>
          <w:sz w:val="22"/>
          <w:szCs w:val="22"/>
        </w:rPr>
      </w:pPr>
      <w:r w:rsidRPr="005C5AA6">
        <w:rPr>
          <w:rFonts w:ascii="Calibri" w:hAnsi="Calibri" w:cs="Calibri"/>
          <w:sz w:val="22"/>
          <w:szCs w:val="22"/>
        </w:rPr>
        <w:t xml:space="preserve">Zestaw pompowy jest kompaktowym, w pełni wyposażonym i przystosowanym do autonomicznej pracy zestawem pompowym, składającym się z pomp, armatury i sterowania. Włączenie zestawu do ruchu obejmuje następujące czynności: </w:t>
      </w:r>
    </w:p>
    <w:p w:rsidR="005C5AA6" w:rsidRDefault="005C5AA6" w:rsidP="005C5AA6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demontaż starego zestawu hydroforowego,</w:t>
      </w:r>
    </w:p>
    <w:p w:rsidR="005C5AA6" w:rsidRPr="005C5AA6" w:rsidRDefault="005C5AA6" w:rsidP="005C5AA6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5C5AA6">
        <w:rPr>
          <w:rFonts w:ascii="Calibri" w:hAnsi="Calibri" w:cs="Calibri"/>
          <w:sz w:val="22"/>
          <w:szCs w:val="22"/>
        </w:rPr>
        <w:t xml:space="preserve">posadowienie </w:t>
      </w:r>
      <w:r>
        <w:rPr>
          <w:rFonts w:ascii="Calibri" w:hAnsi="Calibri" w:cs="Calibri"/>
          <w:sz w:val="22"/>
          <w:szCs w:val="22"/>
        </w:rPr>
        <w:t xml:space="preserve">nowego </w:t>
      </w:r>
      <w:r w:rsidRPr="005C5AA6">
        <w:rPr>
          <w:rFonts w:ascii="Calibri" w:hAnsi="Calibri" w:cs="Calibri"/>
          <w:sz w:val="22"/>
          <w:szCs w:val="22"/>
        </w:rPr>
        <w:t xml:space="preserve">w budynku stacji wodociągowej, </w:t>
      </w:r>
    </w:p>
    <w:p w:rsidR="005C5AA6" w:rsidRDefault="005C5AA6" w:rsidP="005C5AA6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5C5AA6">
        <w:rPr>
          <w:rFonts w:ascii="Calibri" w:hAnsi="Calibri" w:cs="Calibri"/>
          <w:sz w:val="22"/>
          <w:szCs w:val="22"/>
        </w:rPr>
        <w:t xml:space="preserve">podłączenie hydrauliczne urządzenia, </w:t>
      </w:r>
    </w:p>
    <w:p w:rsidR="005C5AA6" w:rsidRPr="005C5AA6" w:rsidRDefault="005C5AA6" w:rsidP="005C5AA6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5C5AA6">
        <w:rPr>
          <w:rFonts w:ascii="Calibri" w:hAnsi="Calibri" w:cs="Calibri"/>
          <w:sz w:val="22"/>
          <w:szCs w:val="22"/>
        </w:rPr>
        <w:t xml:space="preserve">doprowadzenie zasilania elektrycznego do rozdzielni zestawu hydroforowego, </w:t>
      </w:r>
    </w:p>
    <w:p w:rsidR="005C5AA6" w:rsidRPr="005C5AA6" w:rsidRDefault="005C5AA6" w:rsidP="005C5AA6">
      <w:pPr>
        <w:pStyle w:val="Default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5C5AA6">
        <w:rPr>
          <w:rFonts w:ascii="Calibri" w:hAnsi="Calibri" w:cs="Calibri"/>
          <w:sz w:val="22"/>
          <w:szCs w:val="22"/>
        </w:rPr>
        <w:t xml:space="preserve">rozruch zestawu przez serwis Wykonawcy </w:t>
      </w:r>
    </w:p>
    <w:p w:rsidR="005C5AA6" w:rsidRPr="005C5AA6" w:rsidRDefault="005C5AA6" w:rsidP="0099154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C5AA6" w:rsidRPr="005C5AA6" w:rsidRDefault="005C5AA6" w:rsidP="0099154B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99154B" w:rsidRPr="005C5AA6" w:rsidRDefault="0099154B" w:rsidP="005C5AA6">
      <w:pPr>
        <w:pStyle w:val="Default"/>
        <w:numPr>
          <w:ilvl w:val="0"/>
          <w:numId w:val="3"/>
        </w:numPr>
        <w:rPr>
          <w:rFonts w:ascii="Calibri" w:hAnsi="Calibri" w:cs="Calibri"/>
          <w:color w:val="auto"/>
          <w:sz w:val="22"/>
          <w:szCs w:val="22"/>
        </w:rPr>
      </w:pPr>
      <w:r w:rsidRPr="005C5AA6"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  <w:t xml:space="preserve">Sterowniki </w:t>
      </w:r>
    </w:p>
    <w:p w:rsidR="0099154B" w:rsidRPr="005C5AA6" w:rsidRDefault="0099154B" w:rsidP="005C5AA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5C5AA6">
        <w:rPr>
          <w:rFonts w:ascii="Calibri" w:hAnsi="Calibri" w:cs="Calibri"/>
          <w:color w:val="auto"/>
          <w:sz w:val="22"/>
          <w:szCs w:val="22"/>
        </w:rPr>
        <w:t xml:space="preserve">Zadanie obejmuje dostawę, montaż i uruchomienie dwóch zaprogramowanych sterowników wraz z panelami kolorowymi służących do sterowania pracą urządzeń stosowanych na stacji uzdatniania wody w miejscowości </w:t>
      </w:r>
      <w:r w:rsidR="005C5AA6">
        <w:rPr>
          <w:rFonts w:ascii="Calibri" w:hAnsi="Calibri" w:cs="Calibri"/>
          <w:color w:val="auto"/>
          <w:sz w:val="22"/>
          <w:szCs w:val="22"/>
        </w:rPr>
        <w:t>Zdrzychów</w:t>
      </w:r>
      <w:r w:rsidRPr="005C5AA6">
        <w:rPr>
          <w:rFonts w:ascii="Calibri" w:hAnsi="Calibri" w:cs="Calibri"/>
          <w:color w:val="auto"/>
          <w:sz w:val="22"/>
          <w:szCs w:val="22"/>
        </w:rPr>
        <w:t xml:space="preserve"> tj. sterowanie zestawem hydroforowym (ZH) oraz systemem uzdatniania stacji (SUW). </w:t>
      </w:r>
    </w:p>
    <w:p w:rsidR="0099154B" w:rsidRDefault="0099154B" w:rsidP="005C5AA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5C5AA6">
        <w:rPr>
          <w:rFonts w:ascii="Calibri" w:hAnsi="Calibri" w:cs="Calibri"/>
          <w:color w:val="auto"/>
          <w:sz w:val="22"/>
          <w:szCs w:val="22"/>
        </w:rPr>
        <w:t xml:space="preserve">Jednostka centralna z zasilaniem DC, min. 14 wejściami binarnymi DC, min. 2 wejściami i 2 wyjściami analogowymi i 10 wyjściami przekaźnikowymi. Każda jednostka centralna CPU może być rozbudowana o jedną płytkę sygnałową, wkładaną od strony frontowej sterownika, co powoduje, że bez zwiększania rozmiarów systemu sterowania uzyskuje się dodatkowe cyfrowe lub analogowe porty I/O. W celu </w:t>
      </w:r>
      <w:r w:rsidRPr="005C5AA6">
        <w:rPr>
          <w:rFonts w:ascii="Calibri" w:hAnsi="Calibri" w:cs="Calibri"/>
          <w:color w:val="auto"/>
          <w:sz w:val="22"/>
          <w:szCs w:val="22"/>
        </w:rPr>
        <w:lastRenderedPageBreak/>
        <w:t xml:space="preserve">dalszej rozbudowy liczby cyfrowych lub analogowych portów I/O, z prawej strony CPU mogą być podłączane moduły rozszerzeń. </w:t>
      </w:r>
    </w:p>
    <w:p w:rsidR="009C777B" w:rsidRDefault="009C777B" w:rsidP="005C5AA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B77248" w:rsidRDefault="00B77248" w:rsidP="00B77248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5C5AA6">
        <w:rPr>
          <w:rFonts w:ascii="Calibri" w:hAnsi="Calibri" w:cs="Calibri"/>
          <w:color w:val="auto"/>
          <w:sz w:val="22"/>
          <w:szCs w:val="22"/>
        </w:rPr>
        <w:t xml:space="preserve">Specyfikacja ogólna sterownika (wymagania minimalne): </w:t>
      </w:r>
    </w:p>
    <w:p w:rsidR="00D7274F" w:rsidRDefault="00D7274F" w:rsidP="005C5AA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4678"/>
      </w:tblGrid>
      <w:tr w:rsidR="00B77248" w:rsidTr="00B77248">
        <w:trPr>
          <w:jc w:val="center"/>
        </w:trPr>
        <w:tc>
          <w:tcPr>
            <w:tcW w:w="1838" w:type="dxa"/>
            <w:vAlign w:val="center"/>
          </w:tcPr>
          <w:p w:rsidR="00B77248" w:rsidRDefault="00B77248" w:rsidP="00B77248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>Typ wejścia</w:t>
            </w:r>
          </w:p>
        </w:tc>
        <w:tc>
          <w:tcPr>
            <w:tcW w:w="4678" w:type="dxa"/>
            <w:vAlign w:val="center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- cyfrowe 24 V DC </w:t>
            </w:r>
          </w:p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- napięciowe (V) </w:t>
            </w:r>
          </w:p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- szybkie liczniki: 3x100 kHz, 3x30 kHz </w:t>
            </w:r>
          </w:p>
        </w:tc>
      </w:tr>
      <w:tr w:rsidR="00B77248" w:rsidTr="00B77248">
        <w:trPr>
          <w:jc w:val="center"/>
        </w:trPr>
        <w:tc>
          <w:tcPr>
            <w:tcW w:w="1838" w:type="dxa"/>
            <w:vAlign w:val="center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Zakres wejścia </w:t>
            </w:r>
          </w:p>
        </w:tc>
        <w:tc>
          <w:tcPr>
            <w:tcW w:w="4678" w:type="dxa"/>
            <w:vAlign w:val="center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- 0…10V </w:t>
            </w:r>
          </w:p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- przekaźnik 2A/30V DC </w:t>
            </w:r>
          </w:p>
        </w:tc>
      </w:tr>
      <w:tr w:rsidR="00B77248" w:rsidTr="00B77248">
        <w:trPr>
          <w:jc w:val="center"/>
        </w:trPr>
        <w:tc>
          <w:tcPr>
            <w:tcW w:w="1838" w:type="dxa"/>
            <w:vAlign w:val="center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Typ wyjścia </w:t>
            </w:r>
          </w:p>
        </w:tc>
        <w:tc>
          <w:tcPr>
            <w:tcW w:w="4678" w:type="dxa"/>
            <w:vAlign w:val="center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- 0…20mA </w:t>
            </w:r>
          </w:p>
          <w:p w:rsidR="00B77248" w:rsidRDefault="00B77248" w:rsidP="00B77248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>- cyfrowe</w:t>
            </w:r>
          </w:p>
        </w:tc>
      </w:tr>
      <w:tr w:rsidR="00B77248" w:rsidTr="00B77248">
        <w:trPr>
          <w:jc w:val="center"/>
        </w:trPr>
        <w:tc>
          <w:tcPr>
            <w:tcW w:w="1838" w:type="dxa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Zasilanie </w:t>
            </w:r>
          </w:p>
        </w:tc>
        <w:tc>
          <w:tcPr>
            <w:tcW w:w="4678" w:type="dxa"/>
            <w:vAlign w:val="center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20,4…28,8V DC </w:t>
            </w:r>
          </w:p>
        </w:tc>
      </w:tr>
      <w:tr w:rsidR="00B77248" w:rsidTr="00B77248">
        <w:trPr>
          <w:jc w:val="center"/>
        </w:trPr>
        <w:tc>
          <w:tcPr>
            <w:tcW w:w="1838" w:type="dxa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Interfejs komunikacyjny </w:t>
            </w:r>
          </w:p>
        </w:tc>
        <w:tc>
          <w:tcPr>
            <w:tcW w:w="4678" w:type="dxa"/>
            <w:vAlign w:val="center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Ethernet </w:t>
            </w:r>
          </w:p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PROFINET </w:t>
            </w:r>
          </w:p>
        </w:tc>
      </w:tr>
      <w:tr w:rsidR="00B77248" w:rsidTr="00B77248">
        <w:trPr>
          <w:jc w:val="center"/>
        </w:trPr>
        <w:tc>
          <w:tcPr>
            <w:tcW w:w="1838" w:type="dxa"/>
            <w:vAlign w:val="center"/>
          </w:tcPr>
          <w:p w:rsidR="00B77248" w:rsidRDefault="00B77248" w:rsidP="00B77248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>Pojemność pamięci</w:t>
            </w:r>
          </w:p>
        </w:tc>
        <w:tc>
          <w:tcPr>
            <w:tcW w:w="4678" w:type="dxa"/>
            <w:vAlign w:val="center"/>
          </w:tcPr>
          <w:p w:rsidR="00B77248" w:rsidRDefault="00B77248" w:rsidP="00B77248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wewnętrzna 125 </w:t>
            </w:r>
            <w:proofErr w:type="spellStart"/>
            <w:r w:rsidRPr="005C5AA6">
              <w:rPr>
                <w:rFonts w:ascii="Calibri" w:hAnsi="Calibri" w:cs="Calibri"/>
                <w:sz w:val="22"/>
                <w:szCs w:val="22"/>
              </w:rPr>
              <w:t>kB</w:t>
            </w:r>
            <w:proofErr w:type="spellEnd"/>
          </w:p>
        </w:tc>
      </w:tr>
      <w:tr w:rsidR="00B77248" w:rsidTr="00E370CF">
        <w:trPr>
          <w:jc w:val="center"/>
        </w:trPr>
        <w:tc>
          <w:tcPr>
            <w:tcW w:w="1838" w:type="dxa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Typ regulacji </w:t>
            </w:r>
          </w:p>
        </w:tc>
        <w:tc>
          <w:tcPr>
            <w:tcW w:w="4678" w:type="dxa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>PID, 16 pętli, Auto-</w:t>
            </w:r>
            <w:proofErr w:type="spellStart"/>
            <w:r w:rsidRPr="005C5AA6">
              <w:rPr>
                <w:rFonts w:ascii="Calibri" w:hAnsi="Calibri" w:cs="Calibri"/>
                <w:sz w:val="22"/>
                <w:szCs w:val="22"/>
              </w:rPr>
              <w:t>tuning</w:t>
            </w:r>
            <w:proofErr w:type="spellEnd"/>
            <w:r w:rsidRPr="005C5AA6">
              <w:rPr>
                <w:rFonts w:ascii="Calibri" w:hAnsi="Calibri" w:cs="Calibri"/>
                <w:sz w:val="22"/>
                <w:szCs w:val="22"/>
              </w:rPr>
              <w:t xml:space="preserve">, regulacja w zamkniętej pętli </w:t>
            </w:r>
          </w:p>
        </w:tc>
      </w:tr>
      <w:tr w:rsidR="00B77248" w:rsidTr="00E370CF">
        <w:trPr>
          <w:jc w:val="center"/>
        </w:trPr>
        <w:tc>
          <w:tcPr>
            <w:tcW w:w="1838" w:type="dxa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>Wymiary obudowy</w:t>
            </w:r>
          </w:p>
        </w:tc>
        <w:tc>
          <w:tcPr>
            <w:tcW w:w="4678" w:type="dxa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130 x 100 x 75 mm </w:t>
            </w:r>
          </w:p>
        </w:tc>
      </w:tr>
      <w:tr w:rsidR="00B77248" w:rsidTr="00E370CF">
        <w:trPr>
          <w:jc w:val="center"/>
        </w:trPr>
        <w:tc>
          <w:tcPr>
            <w:tcW w:w="1838" w:type="dxa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>Temperatura pracy</w:t>
            </w:r>
          </w:p>
        </w:tc>
        <w:tc>
          <w:tcPr>
            <w:tcW w:w="4678" w:type="dxa"/>
          </w:tcPr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 xml:space="preserve">-20…+50°C </w:t>
            </w:r>
          </w:p>
          <w:p w:rsidR="00B77248" w:rsidRPr="005C5AA6" w:rsidRDefault="00B77248" w:rsidP="00B77248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C5AA6">
              <w:rPr>
                <w:rFonts w:ascii="Calibri" w:hAnsi="Calibri" w:cs="Calibri"/>
                <w:sz w:val="22"/>
                <w:szCs w:val="22"/>
              </w:rPr>
              <w:t>-20…+60°C</w:t>
            </w:r>
          </w:p>
        </w:tc>
      </w:tr>
    </w:tbl>
    <w:p w:rsidR="00D7274F" w:rsidRDefault="00D7274F" w:rsidP="005C5AA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D7274F" w:rsidRDefault="00D7274F" w:rsidP="005C5AA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D7274F" w:rsidRPr="005C5AA6" w:rsidRDefault="00D7274F" w:rsidP="005C5AA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642B8A" w:rsidRPr="00642B8A" w:rsidRDefault="00642B8A" w:rsidP="00642B8A">
      <w:pPr>
        <w:tabs>
          <w:tab w:val="left" w:pos="709"/>
        </w:tabs>
        <w:spacing w:after="0" w:line="360" w:lineRule="auto"/>
        <w:jc w:val="both"/>
        <w:rPr>
          <w:rFonts w:ascii="Calibri" w:hAnsi="Calibri" w:cs="Calibri"/>
          <w:color w:val="000000"/>
        </w:rPr>
      </w:pPr>
      <w:r w:rsidRPr="00642B8A">
        <w:rPr>
          <w:rFonts w:ascii="Calibri" w:hAnsi="Calibri" w:cs="Calibri"/>
          <w:b/>
          <w:bCs/>
          <w:smallCaps/>
          <w:color w:val="000000"/>
        </w:rPr>
        <w:t xml:space="preserve">Podstawowe funkcje sterownika        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 xml:space="preserve">sterownik posiada możliwość za </w:t>
      </w:r>
      <w:r w:rsidRPr="00642B8A">
        <w:rPr>
          <w:rFonts w:ascii="Calibri" w:hAnsi="Calibri" w:cs="Calibri"/>
        </w:rPr>
        <w:t xml:space="preserve">pośrednictwem sygnałów analogowych (4 - 20 </w:t>
      </w:r>
      <w:proofErr w:type="spellStart"/>
      <w:r w:rsidRPr="00642B8A">
        <w:rPr>
          <w:rFonts w:ascii="Calibri" w:hAnsi="Calibri" w:cs="Calibri"/>
        </w:rPr>
        <w:t>mA</w:t>
      </w:r>
      <w:proofErr w:type="spellEnd"/>
      <w:r w:rsidRPr="00642B8A">
        <w:rPr>
          <w:rFonts w:ascii="Calibri" w:hAnsi="Calibri" w:cs="Calibri"/>
        </w:rPr>
        <w:t xml:space="preserve">) sterowania wieloma przetwornicami częstotliwości, </w:t>
      </w:r>
      <w:r w:rsidRPr="00642B8A">
        <w:rPr>
          <w:rFonts w:ascii="Calibri" w:hAnsi="Calibri" w:cs="Calibri"/>
          <w:color w:val="000000" w:themeColor="text1"/>
        </w:rPr>
        <w:t xml:space="preserve"> 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 xml:space="preserve">sterownik, posiada możliwość komunikacji z systemami nadrzędnymi przy wykorzystaniu portów komunikacyjnych (protokoły komunikacyjne do uzgodnienia). 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>sterownik umożliwia sterowanie pracą pomp z zachowaniem odpowiedniej kolejności załączania i wyłączania pomp (przełączanie pomp po każdym cyklu pracy),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>sterownik uniemożliwia jednoczesne załączanie więcej niż jednej pompy, przesuwając w czasie rozruchy poszczególnych pomp,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>sterownik blokuje możliwość natychmiastowego włączenia / wyłączenia pompy po wyłączeniu / włączeniu poprzedniej, poprzez co uniemożliwia pulsacyjną pracę w przypadku gwałtownych zmian poboru wody,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>sterownik pozwala na ograniczanie maksymalnej liczby pomp pracujących jednocześnie,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 xml:space="preserve">sterownik zabezpiecza zestaw przed </w:t>
      </w:r>
      <w:proofErr w:type="spellStart"/>
      <w:r w:rsidRPr="00642B8A">
        <w:rPr>
          <w:rFonts w:ascii="Calibri" w:hAnsi="Calibri" w:cs="Calibri"/>
          <w:color w:val="000000" w:themeColor="text1"/>
        </w:rPr>
        <w:t>suchobiegiem</w:t>
      </w:r>
      <w:proofErr w:type="spellEnd"/>
      <w:r w:rsidRPr="00642B8A">
        <w:rPr>
          <w:rFonts w:ascii="Calibri" w:hAnsi="Calibri" w:cs="Calibri"/>
          <w:color w:val="000000" w:themeColor="text1"/>
        </w:rPr>
        <w:t>, wyłączając kolejno poszczególne pompy zestawu przy spadku ciśnienia na ssaniu poniżej wartości zadanej (dla zestawów z bezpośrednim podłączeniem do wodociągu) lub w przypadku, gdy poziom wody w zbiorniku obniży się poniżej wartości zadanej,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>sterownik niezwłocznie wyłącza pompy w przypadku przekroczenia dopuszczalnego ciśnienia w kolektorze tłocznym,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 xml:space="preserve">sterownik umożliwia przełączanie pomp, w czasie małych poborów wody zapewniając ich optymalne wykorzystanie, 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 xml:space="preserve">sterownik umożliwia współpracę z komputerem za pomocą połączenia kablowego poprzez łącze </w:t>
      </w:r>
      <w:proofErr w:type="spellStart"/>
      <w:r w:rsidRPr="00642B8A">
        <w:rPr>
          <w:rFonts w:ascii="Calibri" w:hAnsi="Calibri" w:cs="Calibri"/>
          <w:color w:val="000000" w:themeColor="text1"/>
        </w:rPr>
        <w:t>ethernetowe</w:t>
      </w:r>
      <w:proofErr w:type="spellEnd"/>
      <w:r w:rsidRPr="00642B8A">
        <w:rPr>
          <w:rFonts w:ascii="Calibri" w:hAnsi="Calibri" w:cs="Calibri"/>
          <w:color w:val="000000" w:themeColor="text1"/>
        </w:rPr>
        <w:t>,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lastRenderedPageBreak/>
        <w:t>sterownik umożliwia automatyczną zmianę parametrów pracy zestawu w zadanych przedziałach czasowych,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 xml:space="preserve">sterownik posiada możliwość odczytu podstawowych parametrów (wyświetlacz na drzwiach szafy): poziom lustra wody w zbiornikach, tłoczenia, obroty/ częstotliwość silnika z przetwornicą, </w:t>
      </w:r>
    </w:p>
    <w:p w:rsidR="00642B8A" w:rsidRP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>montaż sterownika zapewnia stopień ochrony IP 54 od strony zewnętrznej rozdzielni,</w:t>
      </w:r>
    </w:p>
    <w:p w:rsidR="00642B8A" w:rsidRDefault="00642B8A" w:rsidP="00642B8A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  <w:color w:val="000000" w:themeColor="text1"/>
        </w:rPr>
      </w:pPr>
      <w:r w:rsidRPr="00642B8A">
        <w:rPr>
          <w:rFonts w:ascii="Calibri" w:hAnsi="Calibri" w:cs="Calibri"/>
          <w:color w:val="000000" w:themeColor="text1"/>
        </w:rPr>
        <w:t>sterownik jest oznakowany znakiem CE.</w:t>
      </w:r>
    </w:p>
    <w:p w:rsidR="009C777B" w:rsidRPr="00642B8A" w:rsidRDefault="009C777B" w:rsidP="009C777B">
      <w:pPr>
        <w:tabs>
          <w:tab w:val="left" w:pos="709"/>
        </w:tabs>
        <w:spacing w:after="0" w:line="240" w:lineRule="auto"/>
        <w:jc w:val="both"/>
        <w:rPr>
          <w:rFonts w:ascii="Calibri" w:hAnsi="Calibri" w:cs="Calibri"/>
          <w:color w:val="000000" w:themeColor="text1"/>
        </w:rPr>
      </w:pPr>
    </w:p>
    <w:p w:rsidR="0099154B" w:rsidRDefault="009C777B" w:rsidP="009C777B">
      <w:pPr>
        <w:pStyle w:val="Default"/>
        <w:numPr>
          <w:ilvl w:val="0"/>
          <w:numId w:val="3"/>
        </w:numPr>
        <w:jc w:val="both"/>
        <w:rPr>
          <w:rFonts w:ascii="Calibri" w:hAnsi="Calibri" w:cs="Calibri"/>
          <w:b/>
          <w:sz w:val="22"/>
          <w:szCs w:val="22"/>
        </w:rPr>
      </w:pPr>
      <w:r w:rsidRPr="006E5716">
        <w:rPr>
          <w:rFonts w:ascii="Calibri" w:hAnsi="Calibri" w:cs="Calibri"/>
          <w:b/>
          <w:sz w:val="22"/>
          <w:szCs w:val="22"/>
        </w:rPr>
        <w:t>System monitoringu pracy stacji wodociągowej</w:t>
      </w:r>
    </w:p>
    <w:p w:rsidR="006E5716" w:rsidRDefault="006E5716" w:rsidP="006E5716">
      <w:pPr>
        <w:pStyle w:val="Default"/>
        <w:ind w:left="360"/>
        <w:jc w:val="both"/>
        <w:rPr>
          <w:rFonts w:ascii="Calibri" w:hAnsi="Calibri" w:cs="Calibri"/>
          <w:sz w:val="22"/>
          <w:szCs w:val="22"/>
        </w:rPr>
      </w:pPr>
    </w:p>
    <w:p w:rsidR="006E5716" w:rsidRPr="002E5D11" w:rsidRDefault="006E5716" w:rsidP="006E5716">
      <w:pPr>
        <w:spacing w:after="0" w:line="240" w:lineRule="auto"/>
        <w:ind w:firstLine="539"/>
        <w:jc w:val="both"/>
        <w:rPr>
          <w:color w:val="000000" w:themeColor="text1"/>
        </w:rPr>
      </w:pPr>
      <w:r>
        <w:rPr>
          <w:color w:val="000000" w:themeColor="text1"/>
        </w:rPr>
        <w:t xml:space="preserve">Systemu monitoringu należy wpiąć do istniejącego systemu </w:t>
      </w:r>
      <w:r w:rsidRPr="002E5D11">
        <w:rPr>
          <w:color w:val="000000" w:themeColor="text1"/>
        </w:rPr>
        <w:t>typu SCADA</w:t>
      </w:r>
      <w:r>
        <w:rPr>
          <w:color w:val="000000" w:themeColor="text1"/>
        </w:rPr>
        <w:t xml:space="preserve"> firmy </w:t>
      </w:r>
      <w:proofErr w:type="spellStart"/>
      <w:r>
        <w:rPr>
          <w:color w:val="000000" w:themeColor="text1"/>
        </w:rPr>
        <w:t>Instalcompact</w:t>
      </w:r>
      <w:proofErr w:type="spellEnd"/>
      <w:r>
        <w:rPr>
          <w:color w:val="000000" w:themeColor="text1"/>
        </w:rPr>
        <w:t xml:space="preserve">, który </w:t>
      </w:r>
      <w:r w:rsidRPr="002E5D11">
        <w:rPr>
          <w:color w:val="000000" w:themeColor="text1"/>
        </w:rPr>
        <w:t>pozwala na bieżącą obserwację parametrów pracy</w:t>
      </w:r>
      <w:r>
        <w:rPr>
          <w:color w:val="000000" w:themeColor="text1"/>
        </w:rPr>
        <w:t xml:space="preserve"> urządzenia</w:t>
      </w:r>
      <w:r w:rsidRPr="002E5D11">
        <w:rPr>
          <w:color w:val="000000" w:themeColor="text1"/>
        </w:rPr>
        <w:t xml:space="preserve">, rejestrację danych archiwalnych oraz zmianę nastaw. </w:t>
      </w:r>
      <w:r>
        <w:rPr>
          <w:color w:val="000000" w:themeColor="text1"/>
        </w:rPr>
        <w:t xml:space="preserve">Zastosowany system </w:t>
      </w:r>
      <w:r w:rsidRPr="002E5D11">
        <w:rPr>
          <w:color w:val="000000" w:themeColor="text1"/>
        </w:rPr>
        <w:t>zapewni</w:t>
      </w:r>
      <w:r>
        <w:rPr>
          <w:color w:val="000000" w:themeColor="text1"/>
        </w:rPr>
        <w:t>a</w:t>
      </w:r>
      <w:r w:rsidRPr="002E5D11">
        <w:rPr>
          <w:color w:val="000000" w:themeColor="text1"/>
        </w:rPr>
        <w:t xml:space="preserve"> pełną funkcjonalność przez stronę www. </w:t>
      </w:r>
    </w:p>
    <w:p w:rsidR="006E5716" w:rsidRPr="00964D06" w:rsidRDefault="006E5716" w:rsidP="006E5716">
      <w:pPr>
        <w:tabs>
          <w:tab w:val="left" w:pos="709"/>
        </w:tabs>
        <w:spacing w:after="0" w:line="240" w:lineRule="auto"/>
        <w:jc w:val="both"/>
        <w:rPr>
          <w:color w:val="000000" w:themeColor="text1"/>
        </w:rPr>
      </w:pPr>
      <w:r w:rsidRPr="00964D06">
        <w:rPr>
          <w:color w:val="000000" w:themeColor="text1"/>
        </w:rPr>
        <w:t>Elementy systemu</w:t>
      </w:r>
      <w:r>
        <w:rPr>
          <w:color w:val="000000" w:themeColor="text1"/>
        </w:rPr>
        <w:t>: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964D06">
        <w:rPr>
          <w:color w:val="000000" w:themeColor="text1"/>
        </w:rPr>
        <w:t>modem GSM</w:t>
      </w:r>
      <w:r w:rsidRPr="007E0F32">
        <w:rPr>
          <w:color w:val="000000" w:themeColor="text1"/>
        </w:rPr>
        <w:t>/GPRS</w:t>
      </w:r>
    </w:p>
    <w:p w:rsidR="006E5716" w:rsidRPr="007E0F32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7E0F32">
        <w:rPr>
          <w:color w:val="000000" w:themeColor="text1"/>
        </w:rPr>
        <w:t>karta SIM w prywatnym APN – 1 szt.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bookmarkStart w:id="0" w:name="_Hlk20472476"/>
      <w:r w:rsidRPr="00964D06">
        <w:rPr>
          <w:color w:val="000000" w:themeColor="text1"/>
        </w:rPr>
        <w:t>systemem publikacji danych przez przeglądarkę www</w:t>
      </w:r>
    </w:p>
    <w:bookmarkEnd w:id="0"/>
    <w:p w:rsidR="006E5716" w:rsidRPr="00964D06" w:rsidRDefault="006E5716" w:rsidP="006E5716">
      <w:pPr>
        <w:tabs>
          <w:tab w:val="left" w:pos="709"/>
        </w:tabs>
        <w:spacing w:after="0" w:line="240" w:lineRule="auto"/>
        <w:jc w:val="both"/>
        <w:rPr>
          <w:color w:val="000000" w:themeColor="text1"/>
        </w:rPr>
      </w:pPr>
      <w:r w:rsidRPr="00964D06">
        <w:rPr>
          <w:color w:val="000000" w:themeColor="text1"/>
        </w:rPr>
        <w:t>Opis systemu: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964D06">
        <w:rPr>
          <w:color w:val="000000" w:themeColor="text1"/>
        </w:rPr>
        <w:t>ciągły podgląd parametrów pracy urządzeń w trybie GPRS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964D06">
        <w:rPr>
          <w:color w:val="000000" w:themeColor="text1"/>
        </w:rPr>
        <w:t>przeglądanie raportów z pracy urządzeń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964D06">
        <w:rPr>
          <w:color w:val="000000" w:themeColor="text1"/>
        </w:rPr>
        <w:t>możliwość wpinania innych obiektów do systemu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964D06">
        <w:rPr>
          <w:color w:val="000000" w:themeColor="text1"/>
        </w:rPr>
        <w:t xml:space="preserve">możliwość drukowania i eksportowania danych do MS Excel, pdf, </w:t>
      </w:r>
      <w:proofErr w:type="spellStart"/>
      <w:r w:rsidRPr="00964D06">
        <w:rPr>
          <w:color w:val="000000" w:themeColor="text1"/>
        </w:rPr>
        <w:t>csv</w:t>
      </w:r>
      <w:proofErr w:type="spellEnd"/>
      <w:r w:rsidRPr="00964D06">
        <w:rPr>
          <w:color w:val="000000" w:themeColor="text1"/>
        </w:rPr>
        <w:t xml:space="preserve"> i txt. </w:t>
      </w:r>
    </w:p>
    <w:p w:rsidR="006E5716" w:rsidRPr="00964D06" w:rsidRDefault="006E5716" w:rsidP="006E5716">
      <w:pPr>
        <w:tabs>
          <w:tab w:val="left" w:pos="709"/>
        </w:tabs>
        <w:spacing w:after="0" w:line="240" w:lineRule="auto"/>
        <w:jc w:val="both"/>
        <w:rPr>
          <w:color w:val="000000" w:themeColor="text1"/>
        </w:rPr>
      </w:pPr>
      <w:r w:rsidRPr="00964D06">
        <w:rPr>
          <w:color w:val="000000" w:themeColor="text1"/>
        </w:rPr>
        <w:t>Funkcje systemu:</w:t>
      </w:r>
    </w:p>
    <w:p w:rsidR="005337F2" w:rsidRDefault="005337F2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>
        <w:rPr>
          <w:color w:val="000000" w:themeColor="text1"/>
        </w:rPr>
        <w:t>monitorowanie pracy uzdatniania wody,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>
        <w:rPr>
          <w:color w:val="000000" w:themeColor="text1"/>
        </w:rPr>
        <w:t>możliwość zmiany progów sygnalizujących alarm o niskim i wysokim ciśnieniu</w:t>
      </w:r>
      <w:r w:rsidRPr="00964D06">
        <w:rPr>
          <w:color w:val="000000" w:themeColor="text1"/>
        </w:rPr>
        <w:t xml:space="preserve"> 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964D06">
        <w:rPr>
          <w:color w:val="000000" w:themeColor="text1"/>
        </w:rPr>
        <w:t xml:space="preserve">graficzne odwzorowanie pracy pomp zestawu hydroforowego (postój, praca, awaria, pompa wykluczona), pomiar ciśnienia tłoczenia, częstotliwość przetwornic, kontrola </w:t>
      </w:r>
      <w:proofErr w:type="spellStart"/>
      <w:r w:rsidRPr="00964D06">
        <w:rPr>
          <w:color w:val="000000" w:themeColor="text1"/>
        </w:rPr>
        <w:t>suchobiegu</w:t>
      </w:r>
      <w:proofErr w:type="spellEnd"/>
      <w:r w:rsidRPr="00964D06">
        <w:rPr>
          <w:color w:val="000000" w:themeColor="text1"/>
        </w:rPr>
        <w:t xml:space="preserve"> i zasilania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964D06">
        <w:rPr>
          <w:color w:val="000000" w:themeColor="text1"/>
        </w:rPr>
        <w:t>wykresy pracy zestawu (praca pomp, korelacje ciśnienia tłoczenia do częstotliwości przetwornic i przepływu)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964D06">
        <w:rPr>
          <w:color w:val="000000" w:themeColor="text1"/>
        </w:rPr>
        <w:t>opcjonalnie (zgodnie z indywidualną konfiguracją urządzenia) ciśnienie ssania, poziom wody w zbiornikach, prąd pobierany przez pompy, przepływ chwilowy, przepływ sumaryczny, temperatura w pomieszczeniu itp.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964D06">
        <w:rPr>
          <w:color w:val="000000" w:themeColor="text1"/>
        </w:rPr>
        <w:t>pomiar czasu pracy pomp</w:t>
      </w:r>
    </w:p>
    <w:p w:rsidR="006E5716" w:rsidRPr="00964D0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964D06">
        <w:rPr>
          <w:color w:val="000000" w:themeColor="text1"/>
        </w:rPr>
        <w:t>archiwizacja parametrów pracy zestawu hydroforowego</w:t>
      </w:r>
    </w:p>
    <w:p w:rsidR="006E5716" w:rsidRDefault="006E5716" w:rsidP="006E5716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62657F">
        <w:rPr>
          <w:color w:val="000000" w:themeColor="text1"/>
        </w:rPr>
        <w:t>generowanie komunikatów w systemie i wysyłanie komunikatów SMS w przypadku wystąpienia stanów awaryjny</w:t>
      </w:r>
      <w:r>
        <w:rPr>
          <w:color w:val="000000" w:themeColor="text1"/>
        </w:rPr>
        <w:t>ch</w:t>
      </w:r>
    </w:p>
    <w:p w:rsidR="006E5716" w:rsidRDefault="006E5716" w:rsidP="006E5716">
      <w:pPr>
        <w:pStyle w:val="Default"/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:rsidR="005E0F3F" w:rsidRDefault="005E0F3F" w:rsidP="005337F2">
      <w:pPr>
        <w:pStyle w:val="Default"/>
        <w:numPr>
          <w:ilvl w:val="0"/>
          <w:numId w:val="3"/>
        </w:num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Przepływomierze elektromagnetyczne</w:t>
      </w:r>
    </w:p>
    <w:p w:rsidR="006E6A9C" w:rsidRDefault="006E6A9C" w:rsidP="006E6A9C">
      <w:pPr>
        <w:shd w:val="clear" w:color="auto" w:fill="FFFFFF"/>
        <w:spacing w:after="0" w:line="240" w:lineRule="auto"/>
        <w:ind w:right="-480"/>
        <w:rPr>
          <w:rFonts w:ascii="Arial" w:eastAsia="Times New Roman" w:hAnsi="Arial" w:cs="Arial"/>
          <w:sz w:val="18"/>
          <w:szCs w:val="18"/>
          <w:lang w:eastAsia="pl-PL"/>
        </w:rPr>
      </w:pPr>
    </w:p>
    <w:p w:rsidR="0068554A" w:rsidRDefault="0068554A" w:rsidP="006E6A9C">
      <w:pPr>
        <w:shd w:val="clear" w:color="auto" w:fill="FFFFFF"/>
        <w:spacing w:after="0" w:line="240" w:lineRule="auto"/>
        <w:ind w:right="-480"/>
      </w:pPr>
      <w:r>
        <w:t>Wymiana wodomierzy analogowych na wodomierze ultradźwiękowe które będą dostarczały dane do systemu zarząd</w:t>
      </w:r>
      <w:r w:rsidR="007523CD">
        <w:t>zania procesem technologicznym. Średnica wodomierzy: DN125 – 1 szt., DN100 – 3 szt., DN80 – 2 szt.,</w:t>
      </w:r>
    </w:p>
    <w:p w:rsidR="00185883" w:rsidRDefault="00185883" w:rsidP="00185883">
      <w:r w:rsidRPr="00E57FEC">
        <w:t xml:space="preserve">Materiał: </w:t>
      </w:r>
      <w:r>
        <w:t>odl</w:t>
      </w:r>
      <w:bookmarkStart w:id="1" w:name="_GoBack"/>
      <w:bookmarkEnd w:id="1"/>
      <w:r>
        <w:t xml:space="preserve">ew stalowy, </w:t>
      </w:r>
      <w:r w:rsidRPr="00E57FEC">
        <w:t>żeliwo, żeliwo sferoidalne</w:t>
      </w:r>
      <w:r>
        <w:br/>
      </w:r>
      <w:r w:rsidRPr="00E57FEC">
        <w:t>Klasa dokładności</w:t>
      </w:r>
      <w:r>
        <w:t xml:space="preserve">: min R200 </w:t>
      </w:r>
      <w:r>
        <w:br/>
        <w:t>Sposób montażu: dwukołnierzowy</w:t>
      </w:r>
      <w:r>
        <w:br/>
        <w:t xml:space="preserve">Komunikacja: </w:t>
      </w:r>
      <w:r w:rsidRPr="00E57FEC">
        <w:t>wyjście impulsowe, RS485</w:t>
      </w:r>
      <w:r>
        <w:t>, GPRS</w:t>
      </w:r>
      <w:r>
        <w:br/>
        <w:t>Medium: woda zimna do</w:t>
      </w:r>
      <w:r w:rsidRPr="00A91D40">
        <w:t xml:space="preserve"> 50°C</w:t>
      </w:r>
      <w:r>
        <w:br/>
      </w:r>
      <w:r w:rsidRPr="00A91D40">
        <w:t>Pozycja montażu</w:t>
      </w:r>
      <w:r>
        <w:t>:</w:t>
      </w:r>
      <w:r w:rsidRPr="00A91D40">
        <w:t xml:space="preserve"> pozioma lub pionowa bez wpływu na metrologię</w:t>
      </w:r>
      <w:r>
        <w:br/>
      </w:r>
      <w:r w:rsidRPr="00A91D40">
        <w:t>Stopień szczelności</w:t>
      </w:r>
      <w:r>
        <w:t>:  min. IP65</w:t>
      </w:r>
      <w:r>
        <w:br/>
        <w:t>Ciśnienie robocze: min 8 bar</w:t>
      </w:r>
    </w:p>
    <w:p w:rsidR="0068554A" w:rsidRDefault="0068554A" w:rsidP="006E6A9C">
      <w:pPr>
        <w:shd w:val="clear" w:color="auto" w:fill="FFFFFF"/>
        <w:spacing w:after="0" w:line="240" w:lineRule="auto"/>
        <w:ind w:right="-480"/>
      </w:pPr>
    </w:p>
    <w:sectPr w:rsidR="00685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scadia Mono SemiBold">
    <w:panose1 w:val="020B0609020000020004"/>
    <w:charset w:val="EE"/>
    <w:family w:val="modern"/>
    <w:pitch w:val="fixed"/>
    <w:sig w:usb0="A1002AFF" w:usb1="C200F9FB" w:usb2="0004002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F5D3F"/>
    <w:multiLevelType w:val="hybridMultilevel"/>
    <w:tmpl w:val="278A2964"/>
    <w:lvl w:ilvl="0" w:tplc="3FB8060C">
      <w:numFmt w:val="bullet"/>
      <w:lvlText w:val="−"/>
      <w:lvlJc w:val="left"/>
      <w:pPr>
        <w:ind w:left="720" w:hanging="360"/>
      </w:pPr>
      <w:rPr>
        <w:rFonts w:ascii="Cascadia Mono SemiBold" w:hAnsi="Cascadia Mono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D8060"/>
    <w:multiLevelType w:val="hybridMultilevel"/>
    <w:tmpl w:val="A63F501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5866AA6"/>
    <w:multiLevelType w:val="multilevel"/>
    <w:tmpl w:val="5334785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795FDF1"/>
    <w:multiLevelType w:val="hybridMultilevel"/>
    <w:tmpl w:val="E76ABA2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40B3E04"/>
    <w:multiLevelType w:val="hybridMultilevel"/>
    <w:tmpl w:val="1A26A0EA"/>
    <w:lvl w:ilvl="0" w:tplc="C0E825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B"/>
    <w:rsid w:val="00185883"/>
    <w:rsid w:val="005337F2"/>
    <w:rsid w:val="00557D5A"/>
    <w:rsid w:val="00563DB2"/>
    <w:rsid w:val="005C5AA6"/>
    <w:rsid w:val="005E0F3F"/>
    <w:rsid w:val="00606FAA"/>
    <w:rsid w:val="00642B8A"/>
    <w:rsid w:val="0068554A"/>
    <w:rsid w:val="006E5716"/>
    <w:rsid w:val="006E6A9C"/>
    <w:rsid w:val="007523CD"/>
    <w:rsid w:val="00912496"/>
    <w:rsid w:val="00963FAF"/>
    <w:rsid w:val="0099154B"/>
    <w:rsid w:val="009C777B"/>
    <w:rsid w:val="00B77248"/>
    <w:rsid w:val="00D7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F6943-7C50-480E-BF27-89480991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154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2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0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6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90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3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63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3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4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4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3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9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45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79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1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96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20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7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3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8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0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8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9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4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2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4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1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7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9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29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2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6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4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7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30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5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50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8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96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5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7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4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4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1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1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9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0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6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5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10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5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7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2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1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7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7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1116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informatyk@dalikow.eu</dc:creator>
  <cp:keywords/>
  <dc:description/>
  <cp:lastModifiedBy>informatyk@dalikow.eu</cp:lastModifiedBy>
  <cp:revision>2</cp:revision>
  <dcterms:created xsi:type="dcterms:W3CDTF">2026-02-25T12:46:00Z</dcterms:created>
  <dcterms:modified xsi:type="dcterms:W3CDTF">2026-02-25T12:46:00Z</dcterms:modified>
</cp:coreProperties>
</file>